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i w:val="false"/>
          <w:iCs w:val="false"/>
          <w:color w:val="FF5A1F"/>
          <w:sz w:val="20"/>
          <w:szCs w:val="20"/>
        </w:rPr>
        <w:t xml:space="preserve">GuardDesk</w:t>
      </w:r>
    </w:p>
    <w:p>
      <w:pPr>
        <w:pStyle w:val="Title"/>
        <w:spacing w:after="80"/>
      </w:pPr>
      <w:r>
        <w:rPr>
          <w:rFonts w:ascii="Arial" w:cs="Arial" w:eastAsia="Arial" w:hAnsi="Arial"/>
          <w:b/>
          <w:bCs/>
          <w:i w:val="false"/>
          <w:iCs w:val="false"/>
          <w:color w:val="0F1115"/>
          <w:sz w:val="40"/>
          <w:szCs w:val="40"/>
        </w:rPr>
        <w:t xml:space="preserve">Data Processing Agreement</w:t>
      </w:r>
    </w:p>
    <w:p>
      <w:pPr>
        <w:pBdr>
          <w:bottom w:val="single" w:color="FF5A1F" w:sz="8" w:space="8"/>
        </w:pBdr>
        <w:spacing w:after="280"/>
      </w:pPr>
      <w:r>
        <w:rPr>
          <w:rFonts w:ascii="Arial" w:cs="Arial" w:eastAsia="Arial" w:hAnsi="Arial"/>
          <w:b w:val="false"/>
          <w:bCs w:val="false"/>
          <w:i w:val="false"/>
          <w:iCs w:val="false"/>
          <w:color w:val="5B626D"/>
          <w:sz w:val="18"/>
          <w:szCs w:val="18"/>
        </w:rPr>
        <w:t xml:space="preserve">GuardDesk Inc. · Version 1.0 · October 18, 2026</w:t>
      </w:r>
    </w:p>
    <w:p>
      <w:pPr>
        <w:spacing w:after="140" w:line="300"/>
      </w:pPr>
      <w:r>
        <w:rPr>
          <w:rFonts w:ascii="Arial" w:cs="Arial" w:eastAsia="Arial" w:hAnsi="Arial"/>
          <w:b w:val="false"/>
          <w:bCs w:val="false"/>
          <w:i w:val="false"/>
          <w:iCs w:val="false"/>
          <w:color w:val="0F1115"/>
          <w:sz w:val="20"/>
          <w:szCs w:val="20"/>
        </w:rPr>
        <w:t xml:space="preserve">This Data Processing Agreement (the “DPA”) forms part of the GuardDesk Terms of Service or other written agreement (the “Agreement”) between GuardDesk Inc., Montréal, Québec, Canada (“GuardDesk”) and the customer named in the signature block or in its GuardDesk account (the “Customer”). It applies whenever GuardDesk processes personal information on the Customer’s behalf in providing the GuardDesk service (the “Service”).</w:t>
      </w:r>
    </w:p>
    <w:p>
      <w:pPr>
        <w:spacing w:after="140" w:line="300"/>
      </w:pPr>
      <w:r>
        <w:rPr>
          <w:rFonts w:ascii="Arial" w:cs="Arial" w:eastAsia="Arial" w:hAnsi="Arial"/>
          <w:b w:val="false"/>
          <w:bCs w:val="false"/>
          <w:i w:val="false"/>
          <w:iCs w:val="false"/>
          <w:color w:val="0F1115"/>
          <w:sz w:val="20"/>
          <w:szCs w:val="20"/>
        </w:rPr>
        <w:t xml:space="preserve">If this DPA conflicts with the Agreement, this DPA prevails for the processing of personal information. If the Standard Contractual Clauses or other transfer terms referred to in clause 10 conflict with this DPA, those terms prevail.</w:t>
      </w:r>
    </w:p>
    <w:p>
      <w:pPr>
        <w:pStyle w:val="Heading2"/>
        <w:spacing w:after="120" w:before="260"/>
      </w:pPr>
      <w:r>
        <w:rPr>
          <w:rFonts w:ascii="Arial" w:cs="Arial" w:eastAsia="Arial" w:hAnsi="Arial"/>
          <w:b/>
          <w:bCs/>
          <w:i w:val="false"/>
          <w:iCs w:val="false"/>
          <w:color w:val="0F1115"/>
          <w:sz w:val="22"/>
          <w:szCs w:val="22"/>
        </w:rPr>
        <w:t xml:space="preserve">1. Definitions</w:t>
      </w:r>
    </w:p>
    <w:p>
      <w:pPr>
        <w:spacing w:after="140" w:line="300"/>
      </w:pPr>
      <w:r>
        <w:rPr>
          <w:rFonts w:ascii="Arial" w:cs="Arial" w:eastAsia="Arial" w:hAnsi="Arial"/>
          <w:b w:val="false"/>
          <w:bCs w:val="false"/>
          <w:i w:val="false"/>
          <w:iCs w:val="false"/>
          <w:color w:val="0F1115"/>
          <w:sz w:val="20"/>
          <w:szCs w:val="20"/>
        </w:rPr>
        <w:t xml:space="preserve">“Data Protection Law” means every privacy and data protection law that applies to the processing, including, as applicable: the EU General Data Protection Regulation 2016/679 (“GDPR”); the UK GDPR and Data Protection Act 2018; the Swiss Federal Act on Data Protection; Brazil’s Lei Geral de Proteção de Dados (Lei 13.709/2018, “LGPD”); Canada’s Personal Information Protection and Electronic Documents Act (“PIPEDA”) and Québec’s Act respecting the protection of personal information in the private sector; Australia’s Privacy Act 1988; and US state privacy laws such as the California Consumer Privacy Act as amended (“CCPA”).</w:t>
      </w:r>
    </w:p>
    <w:p>
      <w:pPr>
        <w:spacing w:after="140" w:line="300"/>
      </w:pPr>
      <w:r>
        <w:rPr>
          <w:rFonts w:ascii="Arial" w:cs="Arial" w:eastAsia="Arial" w:hAnsi="Arial"/>
          <w:b w:val="false"/>
          <w:bCs w:val="false"/>
          <w:i w:val="false"/>
          <w:iCs w:val="false"/>
          <w:color w:val="0F1115"/>
          <w:sz w:val="20"/>
          <w:szCs w:val="20"/>
        </w:rPr>
        <w:t xml:space="preserve">“Personal Data” means any information relating to an identified or identifiable individual that GuardDesk processes on the Customer’s behalf under the Agreement. “Controller”, “Processor”, “Data Subject”, “Processing”, “Personal Data Breach” and “Supervisory Authority” have the meanings given in the GDPR, and the equivalent terms under other Data Protection Law (for example, “operator” under the LGPD, “service provider” under the CCPA, and the person carrying on an enterprise and its mandatary under Québec law) are read accordingly.</w:t>
      </w:r>
    </w:p>
    <w:p>
      <w:pPr>
        <w:spacing w:after="140" w:line="300"/>
      </w:pPr>
      <w:r>
        <w:rPr>
          <w:rFonts w:ascii="Arial" w:cs="Arial" w:eastAsia="Arial" w:hAnsi="Arial"/>
          <w:b w:val="false"/>
          <w:bCs w:val="false"/>
          <w:i w:val="false"/>
          <w:iCs w:val="false"/>
          <w:color w:val="0F1115"/>
          <w:sz w:val="20"/>
          <w:szCs w:val="20"/>
        </w:rPr>
        <w:t xml:space="preserve">“Subprocessor” means a third party engaged by GuardDesk that processes Personal Data for the Service.</w:t>
      </w:r>
    </w:p>
    <w:p>
      <w:pPr>
        <w:pStyle w:val="Heading2"/>
        <w:spacing w:after="120" w:before="260"/>
      </w:pPr>
      <w:r>
        <w:rPr>
          <w:rFonts w:ascii="Arial" w:cs="Arial" w:eastAsia="Arial" w:hAnsi="Arial"/>
          <w:b/>
          <w:bCs/>
          <w:i w:val="false"/>
          <w:iCs w:val="false"/>
          <w:color w:val="0F1115"/>
          <w:sz w:val="22"/>
          <w:szCs w:val="22"/>
        </w:rPr>
        <w:t xml:space="preserve">2. Roles and scope</w:t>
      </w:r>
    </w:p>
    <w:p>
      <w:pPr>
        <w:spacing w:after="140" w:line="300"/>
      </w:pPr>
      <w:r>
        <w:rPr>
          <w:rFonts w:ascii="Arial" w:cs="Arial" w:eastAsia="Arial" w:hAnsi="Arial"/>
          <w:b w:val="false"/>
          <w:bCs w:val="false"/>
          <w:i w:val="false"/>
          <w:iCs w:val="false"/>
          <w:color w:val="0F1115"/>
          <w:sz w:val="20"/>
          <w:szCs w:val="20"/>
        </w:rPr>
        <w:t xml:space="preserve">The Customer is the Controller of the Personal Data and GuardDesk is its Processor. Where the Customer is itself a processor for its own client, GuardDesk is a subprocessor and the Customer warrants that its instructions are authorised by its controller.</w:t>
      </w:r>
    </w:p>
    <w:p>
      <w:pPr>
        <w:spacing w:after="140" w:line="300"/>
      </w:pPr>
      <w:r>
        <w:rPr>
          <w:rFonts w:ascii="Arial" w:cs="Arial" w:eastAsia="Arial" w:hAnsi="Arial"/>
          <w:b w:val="false"/>
          <w:bCs w:val="false"/>
          <w:i w:val="false"/>
          <w:iCs w:val="false"/>
          <w:color w:val="0F1115"/>
          <w:sz w:val="20"/>
          <w:szCs w:val="20"/>
        </w:rPr>
        <w:t xml:space="preserve">The subject matter, duration, nature and purpose of the processing, and the categories of Personal Data and Data Subjects, are described in Annex 1.</w:t>
      </w:r>
    </w:p>
    <w:p>
      <w:pPr>
        <w:spacing w:after="140" w:line="300"/>
      </w:pPr>
      <w:r>
        <w:rPr>
          <w:rFonts w:ascii="Arial" w:cs="Arial" w:eastAsia="Arial" w:hAnsi="Arial"/>
          <w:b w:val="false"/>
          <w:bCs w:val="false"/>
          <w:i w:val="false"/>
          <w:iCs w:val="false"/>
          <w:color w:val="0F1115"/>
          <w:sz w:val="20"/>
          <w:szCs w:val="20"/>
        </w:rPr>
        <w:t xml:space="preserve">The Customer is responsible for having a lawful basis for the processing, for giving its employees, guards, clients and visitors the notices the law requires (including any notice about location data and workplace monitoring), and for the accuracy of the Personal Data it provides.</w:t>
      </w:r>
    </w:p>
    <w:p>
      <w:pPr>
        <w:pStyle w:val="Heading2"/>
        <w:spacing w:after="120" w:before="260"/>
      </w:pPr>
      <w:r>
        <w:rPr>
          <w:rFonts w:ascii="Arial" w:cs="Arial" w:eastAsia="Arial" w:hAnsi="Arial"/>
          <w:b/>
          <w:bCs/>
          <w:i w:val="false"/>
          <w:iCs w:val="false"/>
          <w:color w:val="0F1115"/>
          <w:sz w:val="22"/>
          <w:szCs w:val="22"/>
        </w:rPr>
        <w:t xml:space="preserve">3. Customer instructions</w:t>
      </w:r>
    </w:p>
    <w:p>
      <w:pPr>
        <w:spacing w:after="140" w:line="300"/>
      </w:pPr>
      <w:r>
        <w:rPr>
          <w:rFonts w:ascii="Arial" w:cs="Arial" w:eastAsia="Arial" w:hAnsi="Arial"/>
          <w:b w:val="false"/>
          <w:bCs w:val="false"/>
          <w:i w:val="false"/>
          <w:iCs w:val="false"/>
          <w:color w:val="0F1115"/>
          <w:sz w:val="20"/>
          <w:szCs w:val="20"/>
        </w:rPr>
        <w:t xml:space="preserve">GuardDesk processes Personal Data only on the Customer’s documented instructions, which are the Agreement, this DPA and the Customer’s use and configuration of the Service, unless the law requires otherwise. In that case GuardDesk will tell the Customer before processing, unless the law prohibits it.</w:t>
      </w:r>
    </w:p>
    <w:p>
      <w:pPr>
        <w:spacing w:after="140" w:line="300"/>
      </w:pPr>
      <w:r>
        <w:rPr>
          <w:rFonts w:ascii="Arial" w:cs="Arial" w:eastAsia="Arial" w:hAnsi="Arial"/>
          <w:b w:val="false"/>
          <w:bCs w:val="false"/>
          <w:i w:val="false"/>
          <w:iCs w:val="false"/>
          <w:color w:val="0F1115"/>
          <w:sz w:val="20"/>
          <w:szCs w:val="20"/>
        </w:rPr>
        <w:t xml:space="preserve">GuardDesk will tell the Customer promptly if, in its opinion, an instruction infringes Data Protection Law. GuardDesk does not sell or share Personal Data, does not use it for its own purposes, for advertising or to train artificial intelligence models, and does not combine it with personal information from other sources, except as needed to provide the Service.</w:t>
      </w:r>
    </w:p>
    <w:p>
      <w:pPr>
        <w:pStyle w:val="Heading2"/>
        <w:spacing w:after="120" w:before="260"/>
      </w:pPr>
      <w:r>
        <w:rPr>
          <w:rFonts w:ascii="Arial" w:cs="Arial" w:eastAsia="Arial" w:hAnsi="Arial"/>
          <w:b/>
          <w:bCs/>
          <w:i w:val="false"/>
          <w:iCs w:val="false"/>
          <w:color w:val="0F1115"/>
          <w:sz w:val="22"/>
          <w:szCs w:val="22"/>
        </w:rPr>
        <w:t xml:space="preserve">4. Confidentiality</w:t>
      </w:r>
    </w:p>
    <w:p>
      <w:pPr>
        <w:spacing w:after="140" w:line="300"/>
      </w:pPr>
      <w:r>
        <w:rPr>
          <w:rFonts w:ascii="Arial" w:cs="Arial" w:eastAsia="Arial" w:hAnsi="Arial"/>
          <w:b w:val="false"/>
          <w:bCs w:val="false"/>
          <w:i w:val="false"/>
          <w:iCs w:val="false"/>
          <w:color w:val="0F1115"/>
          <w:sz w:val="20"/>
          <w:szCs w:val="20"/>
        </w:rPr>
        <w:t xml:space="preserve">GuardDesk ensures that every person authorised to process Personal Data is bound by confidentiality obligations and has access only as far as needed for their role.</w:t>
      </w:r>
    </w:p>
    <w:p>
      <w:pPr>
        <w:pStyle w:val="Heading2"/>
        <w:spacing w:after="120" w:before="260"/>
      </w:pPr>
      <w:r>
        <w:rPr>
          <w:rFonts w:ascii="Arial" w:cs="Arial" w:eastAsia="Arial" w:hAnsi="Arial"/>
          <w:b/>
          <w:bCs/>
          <w:i w:val="false"/>
          <w:iCs w:val="false"/>
          <w:color w:val="0F1115"/>
          <w:sz w:val="22"/>
          <w:szCs w:val="22"/>
        </w:rPr>
        <w:t xml:space="preserve">5. Security</w:t>
      </w:r>
    </w:p>
    <w:p>
      <w:pPr>
        <w:spacing w:after="140" w:line="300"/>
      </w:pPr>
      <w:r>
        <w:rPr>
          <w:rFonts w:ascii="Arial" w:cs="Arial" w:eastAsia="Arial" w:hAnsi="Arial"/>
          <w:b w:val="false"/>
          <w:bCs w:val="false"/>
          <w:i w:val="false"/>
          <w:iCs w:val="false"/>
          <w:color w:val="0F1115"/>
          <w:sz w:val="20"/>
          <w:szCs w:val="20"/>
        </w:rPr>
        <w:t xml:space="preserve">GuardDesk implements and maintains the technical and organisational measures described in Annex 2, appropriate to the risk of the processing. GuardDesk may update these measures provided the overall level of protection is not reduced.</w:t>
      </w:r>
    </w:p>
    <w:p>
      <w:pPr>
        <w:pStyle w:val="Heading2"/>
        <w:spacing w:after="120" w:before="260"/>
      </w:pPr>
      <w:r>
        <w:rPr>
          <w:rFonts w:ascii="Arial" w:cs="Arial" w:eastAsia="Arial" w:hAnsi="Arial"/>
          <w:b/>
          <w:bCs/>
          <w:i w:val="false"/>
          <w:iCs w:val="false"/>
          <w:color w:val="0F1115"/>
          <w:sz w:val="22"/>
          <w:szCs w:val="22"/>
        </w:rPr>
        <w:t xml:space="preserve">6. Subprocessors</w:t>
      </w:r>
    </w:p>
    <w:p>
      <w:pPr>
        <w:spacing w:after="140" w:line="300"/>
      </w:pPr>
      <w:r>
        <w:rPr>
          <w:rFonts w:ascii="Arial" w:cs="Arial" w:eastAsia="Arial" w:hAnsi="Arial"/>
          <w:b w:val="false"/>
          <w:bCs w:val="false"/>
          <w:i w:val="false"/>
          <w:iCs w:val="false"/>
          <w:color w:val="0F1115"/>
          <w:sz w:val="20"/>
          <w:szCs w:val="20"/>
        </w:rPr>
        <w:t xml:space="preserve">The Customer gives GuardDesk general authorisation to engage Subprocessors. The Subprocessors in use on the date of this DPA are listed in Annex 3 and kept current at guarddesk.io/security/.</w:t>
      </w:r>
    </w:p>
    <w:p>
      <w:pPr>
        <w:spacing w:after="140" w:line="300"/>
      </w:pPr>
      <w:r>
        <w:rPr>
          <w:rFonts w:ascii="Arial" w:cs="Arial" w:eastAsia="Arial" w:hAnsi="Arial"/>
          <w:b w:val="false"/>
          <w:bCs w:val="false"/>
          <w:i w:val="false"/>
          <w:iCs w:val="false"/>
          <w:color w:val="0F1115"/>
          <w:sz w:val="20"/>
          <w:szCs w:val="20"/>
        </w:rPr>
        <w:t xml:space="preserve">GuardDesk will notify the Customer at least 30 days before adding or replacing a Subprocessor. The Customer may object on reasonable data protection grounds within that period; the parties will discuss the objection in good faith, and if it cannot be resolved the Customer may terminate the affected part of the Service and receive a refund of prepaid fees for the remaining term.</w:t>
      </w:r>
    </w:p>
    <w:p>
      <w:pPr>
        <w:spacing w:after="140" w:line="300"/>
      </w:pPr>
      <w:r>
        <w:rPr>
          <w:rFonts w:ascii="Arial" w:cs="Arial" w:eastAsia="Arial" w:hAnsi="Arial"/>
          <w:b w:val="false"/>
          <w:bCs w:val="false"/>
          <w:i w:val="false"/>
          <w:iCs w:val="false"/>
          <w:color w:val="0F1115"/>
          <w:sz w:val="20"/>
          <w:szCs w:val="20"/>
        </w:rPr>
        <w:t xml:space="preserve">GuardDesk imposes on each Subprocessor, by written contract, data protection obligations that are no less protective than those in this DPA, and remains responsible to the Customer for each Subprocessor’s performance.</w:t>
      </w:r>
    </w:p>
    <w:p>
      <w:pPr>
        <w:pStyle w:val="Heading2"/>
        <w:spacing w:after="120" w:before="260"/>
      </w:pPr>
      <w:r>
        <w:rPr>
          <w:rFonts w:ascii="Arial" w:cs="Arial" w:eastAsia="Arial" w:hAnsi="Arial"/>
          <w:b/>
          <w:bCs/>
          <w:i w:val="false"/>
          <w:iCs w:val="false"/>
          <w:color w:val="0F1115"/>
          <w:sz w:val="22"/>
          <w:szCs w:val="22"/>
        </w:rPr>
        <w:t xml:space="preserve">7. Assistance with Data Subject requests</w:t>
      </w:r>
    </w:p>
    <w:p>
      <w:pPr>
        <w:spacing w:after="140" w:line="300"/>
      </w:pPr>
      <w:r>
        <w:rPr>
          <w:rFonts w:ascii="Arial" w:cs="Arial" w:eastAsia="Arial" w:hAnsi="Arial"/>
          <w:b w:val="false"/>
          <w:bCs w:val="false"/>
          <w:i w:val="false"/>
          <w:iCs w:val="false"/>
          <w:color w:val="0F1115"/>
          <w:sz w:val="20"/>
          <w:szCs w:val="20"/>
        </w:rPr>
        <w:t xml:space="preserve">Taking into account the nature of the processing, GuardDesk assists the Customer, through the Service’s features (export, correction and deletion) and otherwise as reasonably needed, to respond to requests from Data Subjects exercising their rights. If GuardDesk receives a request directly, it will refer the Data Subject to the Customer and will not respond itself unless the Customer instructs it to or the law requires it.</w:t>
      </w:r>
    </w:p>
    <w:p>
      <w:pPr>
        <w:pStyle w:val="Heading2"/>
        <w:spacing w:after="120" w:before="260"/>
      </w:pPr>
      <w:r>
        <w:rPr>
          <w:rFonts w:ascii="Arial" w:cs="Arial" w:eastAsia="Arial" w:hAnsi="Arial"/>
          <w:b/>
          <w:bCs/>
          <w:i w:val="false"/>
          <w:iCs w:val="false"/>
          <w:color w:val="0F1115"/>
          <w:sz w:val="22"/>
          <w:szCs w:val="22"/>
        </w:rPr>
        <w:t xml:space="preserve">8. Personal Data Breaches</w:t>
      </w:r>
    </w:p>
    <w:p>
      <w:pPr>
        <w:spacing w:after="140" w:line="300"/>
      </w:pPr>
      <w:r>
        <w:rPr>
          <w:rFonts w:ascii="Arial" w:cs="Arial" w:eastAsia="Arial" w:hAnsi="Arial"/>
          <w:b w:val="false"/>
          <w:bCs w:val="false"/>
          <w:i w:val="false"/>
          <w:iCs w:val="false"/>
          <w:color w:val="0F1115"/>
          <w:sz w:val="20"/>
          <w:szCs w:val="20"/>
        </w:rPr>
        <w:t xml:space="preserve">GuardDesk will notify the Customer without undue delay, and in any case within 48 hours, after becoming aware of a Personal Data Breach affecting the Customer’s Personal Data. The notice will describe, as far as then known, the nature of the breach, the categories and approximate number of Data Subjects and records concerned, the likely consequences, and the measures taken or proposed. GuardDesk will provide further information as it becomes available.</w:t>
      </w:r>
    </w:p>
    <w:p>
      <w:pPr>
        <w:spacing w:after="140" w:line="300"/>
      </w:pPr>
      <w:r>
        <w:rPr>
          <w:rFonts w:ascii="Arial" w:cs="Arial" w:eastAsia="Arial" w:hAnsi="Arial"/>
          <w:b w:val="false"/>
          <w:bCs w:val="false"/>
          <w:i w:val="false"/>
          <w:iCs w:val="false"/>
          <w:color w:val="0F1115"/>
          <w:sz w:val="20"/>
          <w:szCs w:val="20"/>
        </w:rPr>
        <w:t xml:space="preserve">GuardDesk will take reasonable steps to contain the breach and reduce its effects, and will assist the Customer with its own obligations to notify Supervisory Authorities and Data Subjects and to keep a register of incidents. Notification by GuardDesk is not an acknowledgement of fault.</w:t>
      </w:r>
    </w:p>
    <w:p>
      <w:pPr>
        <w:pStyle w:val="Heading2"/>
        <w:spacing w:after="120" w:before="260"/>
      </w:pPr>
      <w:r>
        <w:rPr>
          <w:rFonts w:ascii="Arial" w:cs="Arial" w:eastAsia="Arial" w:hAnsi="Arial"/>
          <w:b/>
          <w:bCs/>
          <w:i w:val="false"/>
          <w:iCs w:val="false"/>
          <w:color w:val="0F1115"/>
          <w:sz w:val="22"/>
          <w:szCs w:val="22"/>
        </w:rPr>
        <w:t xml:space="preserve">9. Impact assessments and consultation</w:t>
      </w:r>
    </w:p>
    <w:p>
      <w:pPr>
        <w:spacing w:after="140" w:line="300"/>
      </w:pPr>
      <w:r>
        <w:rPr>
          <w:rFonts w:ascii="Arial" w:cs="Arial" w:eastAsia="Arial" w:hAnsi="Arial"/>
          <w:b w:val="false"/>
          <w:bCs w:val="false"/>
          <w:i w:val="false"/>
          <w:iCs w:val="false"/>
          <w:color w:val="0F1115"/>
          <w:sz w:val="20"/>
          <w:szCs w:val="20"/>
        </w:rPr>
        <w:t xml:space="preserve">GuardDesk provides reasonable assistance, using the information available to it, with the Customer’s data protection impact assessments, privacy impact assessments (including assessments required before a transfer of personal information outside Québec), and any prior consultation with a Supervisory Authority.</w:t>
      </w:r>
    </w:p>
    <w:p>
      <w:pPr>
        <w:pStyle w:val="Heading2"/>
        <w:spacing w:after="120" w:before="260"/>
      </w:pPr>
      <w:r>
        <w:rPr>
          <w:rFonts w:ascii="Arial" w:cs="Arial" w:eastAsia="Arial" w:hAnsi="Arial"/>
          <w:b/>
          <w:bCs/>
          <w:i w:val="false"/>
          <w:iCs w:val="false"/>
          <w:color w:val="0F1115"/>
          <w:sz w:val="22"/>
          <w:szCs w:val="22"/>
        </w:rPr>
        <w:t xml:space="preserve">10. International transfers</w:t>
      </w:r>
    </w:p>
    <w:p>
      <w:pPr>
        <w:spacing w:after="140" w:line="300"/>
      </w:pPr>
      <w:r>
        <w:rPr>
          <w:rFonts w:ascii="Arial" w:cs="Arial" w:eastAsia="Arial" w:hAnsi="Arial"/>
          <w:b w:val="false"/>
          <w:bCs w:val="false"/>
          <w:i w:val="false"/>
          <w:iCs w:val="false"/>
          <w:color w:val="0F1115"/>
          <w:sz w:val="20"/>
          <w:szCs w:val="20"/>
        </w:rPr>
        <w:t xml:space="preserve">GuardDesk stores Personal Data in Canada (Annex 1). Some Subprocessors process limited Personal Data in the United States, as shown in Annex 3. The transfer mechanisms in Annex 4 apply, and are incorporated by reference, to the extent a transfer requires them under Data Protection Law.</w:t>
      </w:r>
    </w:p>
    <w:p>
      <w:pPr>
        <w:spacing w:after="140" w:line="300"/>
      </w:pPr>
      <w:r>
        <w:rPr>
          <w:rFonts w:ascii="Arial" w:cs="Arial" w:eastAsia="Arial" w:hAnsi="Arial"/>
          <w:b w:val="false"/>
          <w:bCs w:val="false"/>
          <w:i w:val="false"/>
          <w:iCs w:val="false"/>
          <w:color w:val="0F1115"/>
          <w:sz w:val="20"/>
          <w:szCs w:val="20"/>
        </w:rPr>
        <w:t xml:space="preserve">Where the Customer is subject to the GDPR, the transfer of Personal Data to GuardDesk in Canada relies on the European Commission’s adequacy decision for Canada (Decision 2002/2/EC). Onward transfers to Subprocessors outside Canada are made under appropriate safeguards, such as the EU-US Data Privacy Framework where the Subprocessor is certified, or the Standard Contractual Clauses.</w:t>
      </w:r>
    </w:p>
    <w:p>
      <w:pPr>
        <w:pStyle w:val="Heading2"/>
        <w:spacing w:after="120" w:before="260"/>
      </w:pPr>
      <w:r>
        <w:rPr>
          <w:rFonts w:ascii="Arial" w:cs="Arial" w:eastAsia="Arial" w:hAnsi="Arial"/>
          <w:b/>
          <w:bCs/>
          <w:i w:val="false"/>
          <w:iCs w:val="false"/>
          <w:color w:val="0F1115"/>
          <w:sz w:val="22"/>
          <w:szCs w:val="22"/>
        </w:rPr>
        <w:t xml:space="preserve">11. Return and deletion</w:t>
      </w:r>
    </w:p>
    <w:p>
      <w:pPr>
        <w:spacing w:after="140" w:line="300"/>
      </w:pPr>
      <w:r>
        <w:rPr>
          <w:rFonts w:ascii="Arial" w:cs="Arial" w:eastAsia="Arial" w:hAnsi="Arial"/>
          <w:b w:val="false"/>
          <w:bCs w:val="false"/>
          <w:i w:val="false"/>
          <w:iCs w:val="false"/>
          <w:color w:val="0F1115"/>
          <w:sz w:val="20"/>
          <w:szCs w:val="20"/>
        </w:rPr>
        <w:t xml:space="preserve">During the term, the Customer can export its Personal Data at any time. When the Agreement ends, GuardDesk deletes the Customer’s Personal Data within 30 days, unless the Customer asks for a final export within that period or the law requires GuardDesk to keep it. Backups are overwritten automatically within 35 days. Data that the law requires GuardDesk to keep remains protected by this DPA for as long as it is kept.</w:t>
      </w:r>
    </w:p>
    <w:p>
      <w:pPr>
        <w:pStyle w:val="Heading2"/>
        <w:spacing w:after="120" w:before="260"/>
      </w:pPr>
      <w:r>
        <w:rPr>
          <w:rFonts w:ascii="Arial" w:cs="Arial" w:eastAsia="Arial" w:hAnsi="Arial"/>
          <w:b/>
          <w:bCs/>
          <w:i w:val="false"/>
          <w:iCs w:val="false"/>
          <w:color w:val="0F1115"/>
          <w:sz w:val="22"/>
          <w:szCs w:val="22"/>
        </w:rPr>
        <w:t xml:space="preserve">12. Audits and information</w:t>
      </w:r>
    </w:p>
    <w:p>
      <w:pPr>
        <w:spacing w:after="140" w:line="300"/>
      </w:pPr>
      <w:r>
        <w:rPr>
          <w:rFonts w:ascii="Arial" w:cs="Arial" w:eastAsia="Arial" w:hAnsi="Arial"/>
          <w:b w:val="false"/>
          <w:bCs w:val="false"/>
          <w:i w:val="false"/>
          <w:iCs w:val="false"/>
          <w:color w:val="0F1115"/>
          <w:sz w:val="20"/>
          <w:szCs w:val="20"/>
        </w:rPr>
        <w:t xml:space="preserve">GuardDesk makes available the information reasonably needed to demonstrate compliance with this DPA, including written answers to security questionnaires, and, once available, summaries of third-party security assessments.</w:t>
      </w:r>
    </w:p>
    <w:p>
      <w:pPr>
        <w:spacing w:after="140" w:line="300"/>
      </w:pPr>
      <w:r>
        <w:rPr>
          <w:rFonts w:ascii="Arial" w:cs="Arial" w:eastAsia="Arial" w:hAnsi="Arial"/>
          <w:b w:val="false"/>
          <w:bCs w:val="false"/>
          <w:i w:val="false"/>
          <w:iCs w:val="false"/>
          <w:color w:val="0F1115"/>
          <w:sz w:val="20"/>
          <w:szCs w:val="20"/>
        </w:rPr>
        <w:t xml:space="preserve">If that information is not enough to demonstrate compliance, or a Supervisory Authority requires it, the Customer may conduct an audit, itself or through an independent auditor bound by confidentiality, no more than once in any 12-month period, on at least 30 days’ written notice, during normal business hours and without disrupting the Service. The Customer bears the cost of the audit.</w:t>
      </w:r>
    </w:p>
    <w:p>
      <w:pPr>
        <w:pStyle w:val="Heading2"/>
        <w:spacing w:after="120" w:before="260"/>
      </w:pPr>
      <w:r>
        <w:rPr>
          <w:rFonts w:ascii="Arial" w:cs="Arial" w:eastAsia="Arial" w:hAnsi="Arial"/>
          <w:b/>
          <w:bCs/>
          <w:i w:val="false"/>
          <w:iCs w:val="false"/>
          <w:color w:val="0F1115"/>
          <w:sz w:val="22"/>
          <w:szCs w:val="22"/>
        </w:rPr>
        <w:t xml:space="preserve">13. Liability</w:t>
      </w:r>
    </w:p>
    <w:p>
      <w:pPr>
        <w:spacing w:after="140" w:line="300"/>
      </w:pPr>
      <w:r>
        <w:rPr>
          <w:rFonts w:ascii="Arial" w:cs="Arial" w:eastAsia="Arial" w:hAnsi="Arial"/>
          <w:b w:val="false"/>
          <w:bCs w:val="false"/>
          <w:i w:val="false"/>
          <w:iCs w:val="false"/>
          <w:color w:val="0F1115"/>
          <w:sz w:val="20"/>
          <w:szCs w:val="20"/>
        </w:rPr>
        <w:t xml:space="preserve">Each party’s liability under this DPA is subject to the limitations and exclusions of liability in the Agreement, except where Data Protection Law does not permit such a limitation.</w:t>
      </w:r>
    </w:p>
    <w:p>
      <w:pPr>
        <w:pStyle w:val="Heading2"/>
        <w:spacing w:after="120" w:before="260"/>
      </w:pPr>
      <w:r>
        <w:rPr>
          <w:rFonts w:ascii="Arial" w:cs="Arial" w:eastAsia="Arial" w:hAnsi="Arial"/>
          <w:b/>
          <w:bCs/>
          <w:i w:val="false"/>
          <w:iCs w:val="false"/>
          <w:color w:val="0F1115"/>
          <w:sz w:val="22"/>
          <w:szCs w:val="22"/>
        </w:rPr>
        <w:t xml:space="preserve">14. Term, law and changes</w:t>
      </w:r>
    </w:p>
    <w:p>
      <w:pPr>
        <w:spacing w:after="140" w:line="300"/>
      </w:pPr>
      <w:r>
        <w:rPr>
          <w:rFonts w:ascii="Arial" w:cs="Arial" w:eastAsia="Arial" w:hAnsi="Arial"/>
          <w:b w:val="false"/>
          <w:bCs w:val="false"/>
          <w:i w:val="false"/>
          <w:iCs w:val="false"/>
          <w:color w:val="0F1115"/>
          <w:sz w:val="20"/>
          <w:szCs w:val="20"/>
        </w:rPr>
        <w:t xml:space="preserve">This DPA lasts as long as GuardDesk processes Personal Data for the Customer. It is governed by the law that governs the Agreement, except where Data Protection Law or a transfer mechanism in Annex 4 requires another law to apply.</w:t>
      </w:r>
    </w:p>
    <w:p>
      <w:pPr>
        <w:spacing w:after="140" w:line="300"/>
      </w:pPr>
      <w:r>
        <w:rPr>
          <w:rFonts w:ascii="Arial" w:cs="Arial" w:eastAsia="Arial" w:hAnsi="Arial"/>
          <w:b w:val="false"/>
          <w:bCs w:val="false"/>
          <w:i w:val="false"/>
          <w:iCs w:val="false"/>
          <w:color w:val="0F1115"/>
          <w:sz w:val="20"/>
          <w:szCs w:val="20"/>
        </w:rPr>
        <w:t xml:space="preserve">GuardDesk may update this DPA to reflect changes in Data Protection Law or in the Service, with at least 30 days’ notice, provided the update does not materially reduce the protection given to Personal Data.</w:t>
      </w:r>
    </w:p>
    <w:p>
      <w:pPr>
        <w:pStyle w:val="Heading2"/>
        <w:spacing w:after="120" w:before="260"/>
      </w:pPr>
      <w:r>
        <w:rPr>
          <w:rFonts w:ascii="Arial" w:cs="Arial" w:eastAsia="Arial" w:hAnsi="Arial"/>
          <w:b/>
          <w:bCs/>
          <w:i w:val="false"/>
          <w:iCs w:val="false"/>
          <w:color w:val="0F1115"/>
          <w:sz w:val="22"/>
          <w:szCs w:val="22"/>
        </w:rPr>
        <w:t xml:space="preserve">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60"/>
        <w:gridCol w:w="3800"/>
        <w:gridCol w:w="3800"/>
      </w:tblGrid>
      <w:tr>
        <w:trPr>
          <w:tblHeader/>
        </w:trPr>
        <w:tc>
          <w:tcPr>
            <w:tcW w:type="dxa" w:w="176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
            </w:r>
          </w:p>
        </w:tc>
        <w:tc>
          <w:tcPr>
            <w:tcW w:type="dxa" w:w="38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Customer</w:t>
            </w:r>
          </w:p>
        </w:tc>
        <w:tc>
          <w:tcPr>
            <w:tcW w:type="dxa" w:w="38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GuardDesk Inc.</w:t>
            </w:r>
          </w:p>
        </w:tc>
      </w:tr>
      <w:tr>
        <w:tc>
          <w:tcPr>
            <w:tcW w:type="dxa" w:w="1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Name</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r>
      <w:tr>
        <w:tc>
          <w:tcPr>
            <w:tcW w:type="dxa" w:w="1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Title</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r>
      <w:tr>
        <w:tc>
          <w:tcPr>
            <w:tcW w:type="dxa" w:w="1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Signature</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r>
      <w:tr>
        <w:tc>
          <w:tcPr>
            <w:tcW w:type="dxa" w:w="1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Date</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c>
          <w:tcPr>
            <w:tcW w:type="dxa" w:w="38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 </w:t>
            </w:r>
          </w:p>
        </w:tc>
      </w:tr>
    </w:tbl>
    <w:p>
      <w:r>
        <w:br w:type="page"/>
      </w:r>
    </w:p>
    <w:p>
      <w:pPr>
        <w:pStyle w:val="Heading1"/>
        <w:spacing w:after="120" w:before="360"/>
      </w:pPr>
      <w:r>
        <w:rPr>
          <w:rFonts w:ascii="Arial" w:cs="Arial" w:eastAsia="Arial" w:hAnsi="Arial"/>
          <w:b/>
          <w:bCs/>
          <w:i w:val="false"/>
          <w:iCs w:val="false"/>
          <w:color w:val="0F1115"/>
          <w:sz w:val="28"/>
          <w:szCs w:val="28"/>
        </w:rPr>
        <w:t xml:space="preserve">Annex 1 · Details of the processing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Item</w:t>
            </w:r>
          </w:p>
        </w:tc>
        <w:tc>
          <w:tcPr>
            <w:tcW w:type="dxa" w:w="696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Description</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Subject matter and purpose</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Providing the GuardDesk service: scheduling guards, recording attendance and verified patrols, incident and activity reporting, evidence handling, timesheets, supervisor alerts, client reporting and support.</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Duration</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term of the Agreement, plus the deletion period in clause 11.</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Nature of the processing</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Collection through the web and mobile applications, storage, organisation, retrieval, use, disclosure to the Customer’s authorised users and clients as the Customer configures, and deletion.</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Data Subjects</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Customer’s employees and contractors (guards, supervisors, dispatchers, administrators); contacts at the Customer’s clients; individuals mentioned in incident reports, visitor logs or evidence (visitors, witnesses, members of the public).</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Categories of Personal Data</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Identification and contact details; employment details (role, sites, licences and certificates with expiry dates); schedules, availability, attendance and timesheet data; location data during shifts (clock-in, checkpoint scans and tours); device identifiers; photos, files and narratives in reports and evidence; audit logs of actions in the Service.</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Sensitive data</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Service is not designed to collect sensitive data, but incident reports written by the Customer’s users may contain health information (for example, injuries) or information about alleged offences. The Customer controls what its users record.</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Location of storage</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Microsoft Azure, Canada Central region, with backups in Canada East.</w:t>
            </w:r>
          </w:p>
        </w:tc>
      </w:tr>
      <w:tr>
        <w:tc>
          <w:tcPr>
            <w:tcW w:type="dxa" w:w="24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Retention</w:t>
            </w:r>
          </w:p>
        </w:tc>
        <w:tc>
          <w:tcPr>
            <w:tcW w:type="dxa" w:w="6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As configured by the Customer during the term; location history 90 days; deletion within 30 days after the end of the Agreement; backups overwritten within 35 days.</w:t>
            </w:r>
          </w:p>
        </w:tc>
      </w:tr>
    </w:tbl>
    <w:p>
      <w:r>
        <w:br w:type="page"/>
      </w:r>
    </w:p>
    <w:p>
      <w:pPr>
        <w:pStyle w:val="Heading1"/>
        <w:spacing w:after="120" w:before="360"/>
      </w:pPr>
      <w:r>
        <w:rPr>
          <w:rFonts w:ascii="Arial" w:cs="Arial" w:eastAsia="Arial" w:hAnsi="Arial"/>
          <w:b/>
          <w:bCs/>
          <w:i w:val="false"/>
          <w:iCs w:val="false"/>
          <w:color w:val="0F1115"/>
          <w:sz w:val="28"/>
          <w:szCs w:val="28"/>
        </w:rPr>
        <w:t xml:space="preserve">Annex 2 · Technical and organisational security measures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Measure</w:t>
            </w:r>
          </w:p>
        </w:tc>
        <w:tc>
          <w:tcPr>
            <w:tcW w:type="dxa" w:w="716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Description</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Encryption</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Data encrypted in transit (TLS 1.2 or higher) and at rest (AES-256). The guard app’s local working database is encrypted on the device.</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Tenant isolation</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Each customer’s records are separated by row-level security enforced in the database, so an application error cannot expose one customer’s data to another.</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Access control</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Role-based permissions limited by site and region; least-privilege database roles; the application never runs with rights to bypass row-level security.</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Authentication</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Sign-in through a dedicated identity provider (Microsoft Entra External ID); GuardDesk does not store passwords; two-step verification available for office users; account lockout after repeated failed attempts.</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Integrity and audit</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Evidence fingerprinted (SHA-256) at capture with a chain of custody; assignments, approvals, publications and timesheet changes written to an audit log that cannot be edited; server-side validation of every mobile action.</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Availability and recovery</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Managed database with automatic daily backups and point-in-time recovery for 35 days; backups replicated to a second Canadian region.</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Personnel</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Confidentiality obligations for everyone with access; access granted only as needed and removed when no longer needed.</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Development</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Changes reviewed and tested before release; secrets kept out of source code; production refuses development credentials and settings at startup.</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Incident response</w:t>
            </w:r>
          </w:p>
        </w:tc>
        <w:tc>
          <w:tcPr>
            <w:tcW w:type="dxa" w:w="71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Security reports to security@guarddesk.io answered within two business days; breach notification under clause 8.</w:t>
            </w:r>
          </w:p>
        </w:tc>
      </w:tr>
    </w:tbl>
    <w:p>
      <w:r>
        <w:br w:type="page"/>
      </w:r>
    </w:p>
    <w:p>
      <w:pPr>
        <w:pStyle w:val="Heading1"/>
        <w:spacing w:after="120" w:before="360"/>
      </w:pPr>
      <w:r>
        <w:rPr>
          <w:rFonts w:ascii="Arial" w:cs="Arial" w:eastAsia="Arial" w:hAnsi="Arial"/>
          <w:b/>
          <w:bCs/>
          <w:i w:val="false"/>
          <w:iCs w:val="false"/>
          <w:color w:val="0F1115"/>
          <w:sz w:val="28"/>
          <w:szCs w:val="28"/>
        </w:rPr>
        <w:t xml:space="preserve">Annex 3 · Subprocessors</w:t>
      </w:r>
    </w:p>
    <w:p>
      <w:pPr>
        <w:spacing w:after="140" w:line="300"/>
      </w:pPr>
      <w:r>
        <w:rPr>
          <w:rFonts w:ascii="Arial" w:cs="Arial" w:eastAsia="Arial" w:hAnsi="Arial"/>
          <w:b w:val="false"/>
          <w:bCs w:val="false"/>
          <w:i w:val="false"/>
          <w:iCs w:val="false"/>
          <w:color w:val="5B626D"/>
          <w:sz w:val="18"/>
          <w:szCs w:val="18"/>
        </w:rPr>
        <w:t xml:space="preserve">Current list on the date of this DPA. Updates are published at guarddesk.io/security/ with 30 days’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700"/>
        <w:gridCol w:w="2760"/>
        <w:gridCol w:w="1600"/>
      </w:tblGrid>
      <w:tr>
        <w:trPr>
          <w:tblHeader/>
        </w:trPr>
        <w:tc>
          <w:tcPr>
            <w:tcW w:type="dxa" w:w="23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Subprocessor</w:t>
            </w:r>
          </w:p>
        </w:tc>
        <w:tc>
          <w:tcPr>
            <w:tcW w:type="dxa" w:w="27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Purpose</w:t>
            </w:r>
          </w:p>
        </w:tc>
        <w:tc>
          <w:tcPr>
            <w:tcW w:type="dxa" w:w="276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Personal Data involved</w:t>
            </w:r>
          </w:p>
        </w:tc>
        <w:tc>
          <w:tcPr>
            <w:tcW w:type="dxa" w:w="16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Location</w:t>
            </w:r>
          </w:p>
        </w:tc>
      </w:tr>
      <w:tr>
        <w:tc>
          <w:tcPr>
            <w:tcW w:type="dxa" w:w="23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Microsoft Corporation (Azure)</w:t>
            </w:r>
          </w:p>
        </w:tc>
        <w:tc>
          <w:tcPr>
            <w:tcW w:type="dxa" w:w="27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Hosting, database and file storage</w:t>
            </w:r>
          </w:p>
        </w:tc>
        <w:tc>
          <w:tcPr>
            <w:tcW w:type="dxa" w:w="2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All Personal Data in the Service</w:t>
            </w:r>
          </w:p>
        </w:tc>
        <w:tc>
          <w:tcPr>
            <w:tcW w:type="dxa" w:w="16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Canada</w:t>
            </w:r>
          </w:p>
        </w:tc>
      </w:tr>
      <w:tr>
        <w:tc>
          <w:tcPr>
            <w:tcW w:type="dxa" w:w="23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Microsoft Corporation (Entra External ID)</w:t>
            </w:r>
          </w:p>
        </w:tc>
        <w:tc>
          <w:tcPr>
            <w:tcW w:type="dxa" w:w="27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Sign-in and two-step verification</w:t>
            </w:r>
          </w:p>
        </w:tc>
        <w:tc>
          <w:tcPr>
            <w:tcW w:type="dxa" w:w="2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Name, email address, sign-in records</w:t>
            </w:r>
          </w:p>
        </w:tc>
        <w:tc>
          <w:tcPr>
            <w:tcW w:type="dxa" w:w="16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Canada</w:t>
            </w:r>
          </w:p>
        </w:tc>
      </w:tr>
      <w:tr>
        <w:tc>
          <w:tcPr>
            <w:tcW w:type="dxa" w:w="23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ActiveCampaign, LLC (Postmark)</w:t>
            </w:r>
          </w:p>
        </w:tc>
        <w:tc>
          <w:tcPr>
            <w:tcW w:type="dxa" w:w="27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Invitation, notification and report emails</w:t>
            </w:r>
          </w:p>
        </w:tc>
        <w:tc>
          <w:tcPr>
            <w:tcW w:type="dxa" w:w="2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Recipient name and email address, email content</w:t>
            </w:r>
          </w:p>
        </w:tc>
        <w:tc>
          <w:tcPr>
            <w:tcW w:type="dxa" w:w="16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United States</w:t>
            </w:r>
          </w:p>
        </w:tc>
      </w:tr>
      <w:tr>
        <w:tc>
          <w:tcPr>
            <w:tcW w:type="dxa" w:w="23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650 Industries, Inc. (Expo)</w:t>
            </w:r>
          </w:p>
        </w:tc>
        <w:tc>
          <w:tcPr>
            <w:tcW w:type="dxa" w:w="27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Push notifications to the guard app</w:t>
            </w:r>
          </w:p>
        </w:tc>
        <w:tc>
          <w:tcPr>
            <w:tcW w:type="dxa" w:w="2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Device push tokens and notification text; no report content</w:t>
            </w:r>
          </w:p>
        </w:tc>
        <w:tc>
          <w:tcPr>
            <w:tcW w:type="dxa" w:w="16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United States</w:t>
            </w:r>
          </w:p>
        </w:tc>
      </w:tr>
      <w:tr>
        <w:tc>
          <w:tcPr>
            <w:tcW w:type="dxa" w:w="23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Anthropic, PBC</w:t>
            </w:r>
          </w:p>
        </w:tc>
        <w:tc>
          <w:tcPr>
            <w:tcW w:type="dxa" w:w="27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Optional help rewriting report text (Pro plan, only if the Customer turns it on); not used for model training</w:t>
            </w:r>
          </w:p>
        </w:tc>
        <w:tc>
          <w:tcPr>
            <w:tcW w:type="dxa" w:w="27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Report text submitted for rewriting</w:t>
            </w:r>
          </w:p>
        </w:tc>
        <w:tc>
          <w:tcPr>
            <w:tcW w:type="dxa" w:w="16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United States</w:t>
            </w:r>
          </w:p>
        </w:tc>
      </w:tr>
    </w:tbl>
    <w:p>
      <w:r>
        <w:br w:type="page"/>
      </w:r>
    </w:p>
    <w:p>
      <w:pPr>
        <w:pStyle w:val="Heading1"/>
        <w:spacing w:after="120" w:before="360"/>
      </w:pPr>
      <w:r>
        <w:rPr>
          <w:rFonts w:ascii="Arial" w:cs="Arial" w:eastAsia="Arial" w:hAnsi="Arial"/>
          <w:b/>
          <w:bCs/>
          <w:i w:val="false"/>
          <w:iCs w:val="false"/>
          <w:color w:val="0F1115"/>
          <w:sz w:val="28"/>
          <w:szCs w:val="28"/>
        </w:rPr>
        <w:t xml:space="preserve">Annex 4 · Transfer mechanisms by jurisdiction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3960"/>
      </w:tblGrid>
      <w:tr>
        <w:trPr>
          <w:tblHeader/>
        </w:trPr>
        <w:tc>
          <w:tcPr>
            <w:tcW w:type="dxa" w:w="22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Where the Customer is subject to</w:t>
            </w:r>
          </w:p>
        </w:tc>
        <w:tc>
          <w:tcPr>
            <w:tcW w:type="dxa" w:w="320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Transfer to GuardDesk in Canada</w:t>
            </w:r>
          </w:p>
        </w:tc>
        <w:tc>
          <w:tcPr>
            <w:tcW w:type="dxa" w:w="3960"/>
            <w:tcBorders>
              <w:top w:val="single" w:color="C9D0D8" w:sz="4"/>
              <w:left w:val="single" w:color="C9D0D8" w:sz="4"/>
              <w:bottom w:val="single" w:color="C9D0D8" w:sz="4"/>
              <w:right w:val="single" w:color="C9D0D8" w:sz="4"/>
            </w:tcBorders>
            <w:shd w:fill="F4F6F8" w:color="auto" w:val="clear"/>
            <w:tcMar>
              <w:top w:type="dxa" w:w="80"/>
              <w:left w:type="dxa" w:w="110"/>
              <w:bottom w:type="dxa" w:w="80"/>
              <w:right w:type="dxa" w:w="110"/>
            </w:tcMar>
          </w:tcPr>
          <w:p>
            <w:pPr>
              <w:spacing w:after="0" w:line="276"/>
            </w:pPr>
            <w:r>
              <w:rPr>
                <w:rFonts w:ascii="Arial" w:cs="Arial" w:eastAsia="Arial" w:hAnsi="Arial"/>
                <w:b/>
                <w:bCs/>
                <w:i w:val="false"/>
                <w:iCs w:val="false"/>
                <w:color w:val="3D434C"/>
                <w:sz w:val="17"/>
                <w:szCs w:val="17"/>
              </w:rPr>
              <w:t xml:space="preserve">Onward transfers to US Subprocessors</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GDPR (European Economic Area)</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EU adequacy decision for Canada (2002/2/EC)</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EU-US Data Privacy Framework where certified; otherwise the EU Standard Contractual Clauses (Decision 2021/914), Module 3</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UK GDPR</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UK adequacy regulations covering Canada</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UK Extension to the Data Privacy Framework where certified; otherwise the UK International Data Transfer Addendum</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Switzerland</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Recognised as adequate by the Swiss Federal Council</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Swiss-US Data Privacy Framework where certified; otherwise the Standard Contractual Clauses as adapted for Switzerland</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LGPD (Brazil)</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Standard contractual clauses adopted by Brazil’s ANPD (Resolution CD/ANPD No. 19/2024), incorporated without changes and prevailing over this DPA for transfers from Brazil</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same ANPD clauses, flowed down to each Subprocessor</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Québec and Canadian law</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Not a transfer outside Canada</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Written agreements with each Subprocessor; GuardDesk provides the information the Customer needs for its assessment before a transfer outside Québec</w:t>
            </w:r>
          </w:p>
        </w:tc>
      </w:tr>
      <w:tr>
        <w:tc>
          <w:tcPr>
            <w:tcW w:type="dxa" w:w="2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Other jurisdictions</w:t>
            </w:r>
          </w:p>
        </w:tc>
        <w:tc>
          <w:tcPr>
            <w:tcW w:type="dxa" w:w="320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contractual commitments in this DPA</w:t>
            </w:r>
          </w:p>
        </w:tc>
        <w:tc>
          <w:tcPr>
            <w:tcW w:type="dxa" w:w="3960"/>
            <w:tcBorders>
              <w:top w:val="single" w:color="C9D0D8" w:sz="4"/>
              <w:left w:val="single" w:color="C9D0D8" w:sz="4"/>
              <w:bottom w:val="single" w:color="C9D0D8" w:sz="4"/>
              <w:right w:val="single" w:color="C9D0D8" w:sz="4"/>
            </w:tcBorders>
            <w:tcMar>
              <w:top w:type="dxa" w:w="80"/>
              <w:left w:type="dxa" w:w="110"/>
              <w:bottom w:type="dxa" w:w="80"/>
              <w:right w:type="dxa" w:w="110"/>
            </w:tcMar>
          </w:tcPr>
          <w:p>
            <w:pPr>
              <w:spacing w:after="0" w:line="276"/>
            </w:pPr>
            <w:r>
              <w:rPr>
                <w:rFonts w:ascii="Arial" w:cs="Arial" w:eastAsia="Arial" w:hAnsi="Arial"/>
                <w:b w:val="false"/>
                <w:bCs w:val="false"/>
                <w:i w:val="false"/>
                <w:iCs w:val="false"/>
                <w:color w:val="0F1115"/>
                <w:sz w:val="18"/>
                <w:szCs w:val="18"/>
              </w:rPr>
              <w:t xml:space="preserve">The contractual commitments in this DPA, flowed down to each Subprocessor</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b w:val="false"/>
        <w:bCs w:val="false"/>
        <w:i w:val="false"/>
        <w:iCs w:val="false"/>
        <w:color w:val="5B626D"/>
        <w:sz w:val="16"/>
        <w:szCs w:val="16"/>
      </w:rPr>
      <w:t xml:space="preserve">Data Processing Agreement · </w:t>
    </w:r>
    <w:r>
      <w:rPr>
        <w:rFonts w:ascii="Arial" w:cs="Arial" w:eastAsia="Arial" w:hAnsi="Arial"/>
        <w:color w:val="5B626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GuardDesk Inc.</dc:creator>
  <dc:description>GuardDesk Inc. · Version 1.0 · October 18, 2026</dc:description>
  <cp:lastModifiedBy>Un-named</cp:lastModifiedBy>
  <cp:revision>1</cp:revision>
  <dcterms:created xsi:type="dcterms:W3CDTF">2026-10-18T02:06:38.945Z</dcterms:created>
  <dcterms:modified xsi:type="dcterms:W3CDTF">2026-10-18T02:06:38.951Z</dcterms:modified>
</cp:coreProperties>
</file>

<file path=docProps/custom.xml><?xml version="1.0" encoding="utf-8"?>
<Properties xmlns="http://schemas.openxmlformats.org/officeDocument/2006/custom-properties" xmlns:vt="http://schemas.openxmlformats.org/officeDocument/2006/docPropsVTypes"/>
</file>